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35" w:rsidRDefault="00004035" w:rsidP="00004035">
      <w:pPr>
        <w:spacing w:before="240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004035">
        <w:rPr>
          <w:rFonts w:ascii="黑体" w:eastAsia="黑体" w:hAnsi="黑体" w:hint="eastAsia"/>
          <w:b/>
          <w:bCs/>
          <w:color w:val="000000"/>
          <w:sz w:val="36"/>
          <w:szCs w:val="36"/>
        </w:rPr>
        <w:t>国家税务总局 财政部关于制造业中小微企业</w:t>
      </w:r>
    </w:p>
    <w:p w:rsidR="003A1168" w:rsidRDefault="00004035" w:rsidP="00004035">
      <w:pPr>
        <w:spacing w:before="240"/>
        <w:jc w:val="center"/>
        <w:rPr>
          <w:rFonts w:ascii="黑体" w:eastAsia="黑体" w:hAnsi="黑体" w:hint="eastAsia"/>
          <w:b/>
          <w:bCs/>
          <w:color w:val="000000"/>
          <w:sz w:val="36"/>
          <w:szCs w:val="36"/>
        </w:rPr>
      </w:pPr>
      <w:r w:rsidRPr="00004035">
        <w:rPr>
          <w:rFonts w:ascii="黑体" w:eastAsia="黑体" w:hAnsi="黑体" w:hint="eastAsia"/>
          <w:b/>
          <w:bCs/>
          <w:color w:val="000000"/>
          <w:sz w:val="36"/>
          <w:szCs w:val="36"/>
        </w:rPr>
        <w:t>延缓缴纳2021年第四季度部分税费有关事项的公告</w:t>
      </w:r>
    </w:p>
    <w:p w:rsidR="009477A4" w:rsidRPr="009477A4" w:rsidRDefault="009477A4" w:rsidP="009477A4">
      <w:pPr>
        <w:pStyle w:val="a5"/>
        <w:shd w:val="clear" w:color="auto" w:fill="FFFFFF"/>
        <w:jc w:val="center"/>
        <w:rPr>
          <w:b/>
          <w:color w:val="FF0000"/>
        </w:rPr>
      </w:pPr>
      <w:r w:rsidRPr="009477A4">
        <w:rPr>
          <w:rFonts w:hint="eastAsia"/>
          <w:b/>
          <w:color w:val="FF0000"/>
        </w:rPr>
        <w:t>国家税务总局公告2021年第30号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为贯彻落实党中央、国务院决策部署，支持制造业中小</w:t>
      </w:r>
      <w:proofErr w:type="gramStart"/>
      <w:r>
        <w:rPr>
          <w:color w:val="000000"/>
        </w:rPr>
        <w:t>微企业</w:t>
      </w:r>
      <w:proofErr w:type="gramEnd"/>
      <w:r>
        <w:rPr>
          <w:color w:val="000000"/>
        </w:rPr>
        <w:t>发展，促进工业经济平稳运行，现就制造业中小微企业（含个人独资企业、合伙企业、个体工商户，下同）延缓缴纳2021年第四季度部分税费有关事项公告如下：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一、本公告所称制造业中小</w:t>
      </w:r>
      <w:proofErr w:type="gramStart"/>
      <w:r>
        <w:rPr>
          <w:color w:val="000000"/>
        </w:rPr>
        <w:t>微企业</w:t>
      </w:r>
      <w:proofErr w:type="gramEnd"/>
      <w:r>
        <w:rPr>
          <w:color w:val="000000"/>
        </w:rPr>
        <w:t>是指国民经济行业分类中行业门类为制造业，且年销售额2000万元以上（含2000万元）4亿元以下（不含4亿元）的企业（以下称制造业中型企业）和年销售额2000万元以下（不含2000万元）的企业（以下称制造业小微企业）。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销售额是指应征增值税销售额，包括纳税申报销售额、稽查查补销售额、纳税评估调整销售额。适用增值税差额征税政策的，以差额后的销售额确定。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二、本公告所称制造业中小</w:t>
      </w:r>
      <w:proofErr w:type="gramStart"/>
      <w:r>
        <w:rPr>
          <w:color w:val="000000"/>
        </w:rPr>
        <w:t>微企业</w:t>
      </w:r>
      <w:proofErr w:type="gramEnd"/>
      <w:r>
        <w:rPr>
          <w:color w:val="000000"/>
        </w:rPr>
        <w:t>年销售额按以下方式确定：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截至2021年9月30日成立满一年的企业，按照所属期为2020年10月至2021年9月的销售额确定；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截至2021年9月30日成立不满一年的企业，按照所属期截至2021年9月30日的销售额/实际经营月份×12个月的销售额确定；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2021年10月1日及以后成立的企业，按照首个申报期销售额/实际经营月份×12个月的销售额确定。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三、延缓缴纳的税费包括所属期为2021年10月、11月、12月（按月缴纳）或者2021年第四季度（按季缴纳）的企业所得税、个人所得税（代扣代缴除外）、国内增值税、国内消费税及附征的城市维护建设税、教育费附加、地方教育附加，不包括向税务机关申请代开发票时缴纳的税费。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四、符合本公告规定条件的制造业中小微企业，在依法办理纳税申报后，制造业中型企业可以延缓缴纳本公告第三条规定的各项税费金额的50%，制造业小</w:t>
      </w:r>
      <w:proofErr w:type="gramStart"/>
      <w:r>
        <w:rPr>
          <w:color w:val="000000"/>
        </w:rPr>
        <w:t>微企业</w:t>
      </w:r>
      <w:proofErr w:type="gramEnd"/>
      <w:r>
        <w:rPr>
          <w:color w:val="000000"/>
        </w:rPr>
        <w:t>可以延缓缴纳本公告第三条规定的全部税费。延缓的期限为3个月。延缓期限届满，纳税人应依法缴纳缓缴的税费。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五、纳税人不符合本公告规定条件，骗取享受缓税政策的，税务机关将依照《中华人民共和国税收征收管理法》及其实施细则等有关规定处理。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　　六、本公告规定条件的制造业中小微企业，符合《中华人民共和国税收征收管理法》及其实施细则规定可以申请延期缴纳税款的，仍然可以依法申请办理延期缴纳税款。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七、本公告自2021年11月1日起施行。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特此公告。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国家税务总局财政部</w:t>
      </w:r>
    </w:p>
    <w:p w:rsidR="00004035" w:rsidRDefault="00004035" w:rsidP="00004035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　　2021年10月29日</w:t>
      </w:r>
    </w:p>
    <w:p w:rsidR="00004035" w:rsidRPr="00004035" w:rsidRDefault="00004035" w:rsidP="00004035">
      <w:pPr>
        <w:spacing w:before="240"/>
        <w:rPr>
          <w:rFonts w:ascii="黑体" w:eastAsia="黑体" w:hAnsi="黑体"/>
          <w:sz w:val="36"/>
          <w:szCs w:val="36"/>
        </w:rPr>
      </w:pPr>
    </w:p>
    <w:sectPr w:rsidR="00004035" w:rsidRPr="00004035" w:rsidSect="003A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C3" w:rsidRDefault="006F50C3" w:rsidP="00004035">
      <w:r>
        <w:separator/>
      </w:r>
    </w:p>
  </w:endnote>
  <w:endnote w:type="continuationSeparator" w:id="0">
    <w:p w:rsidR="006F50C3" w:rsidRDefault="006F50C3" w:rsidP="00004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C3" w:rsidRDefault="006F50C3" w:rsidP="00004035">
      <w:r>
        <w:separator/>
      </w:r>
    </w:p>
  </w:footnote>
  <w:footnote w:type="continuationSeparator" w:id="0">
    <w:p w:rsidR="006F50C3" w:rsidRDefault="006F50C3" w:rsidP="00004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035"/>
    <w:rsid w:val="00004035"/>
    <w:rsid w:val="000837C9"/>
    <w:rsid w:val="00152D20"/>
    <w:rsid w:val="001720FE"/>
    <w:rsid w:val="001B3436"/>
    <w:rsid w:val="002B4F9D"/>
    <w:rsid w:val="00317963"/>
    <w:rsid w:val="0033437E"/>
    <w:rsid w:val="003A1168"/>
    <w:rsid w:val="003D5089"/>
    <w:rsid w:val="003E0B82"/>
    <w:rsid w:val="003F077D"/>
    <w:rsid w:val="003F72CD"/>
    <w:rsid w:val="00431D23"/>
    <w:rsid w:val="004B0AB9"/>
    <w:rsid w:val="004B0FC8"/>
    <w:rsid w:val="005F1CF4"/>
    <w:rsid w:val="00601E70"/>
    <w:rsid w:val="00606D6E"/>
    <w:rsid w:val="00620693"/>
    <w:rsid w:val="006D1759"/>
    <w:rsid w:val="006F50C3"/>
    <w:rsid w:val="007601AC"/>
    <w:rsid w:val="007B5F04"/>
    <w:rsid w:val="00824D7D"/>
    <w:rsid w:val="009477A4"/>
    <w:rsid w:val="009A31AF"/>
    <w:rsid w:val="00A24450"/>
    <w:rsid w:val="00A42509"/>
    <w:rsid w:val="00A510BE"/>
    <w:rsid w:val="00AD1D6D"/>
    <w:rsid w:val="00BD712C"/>
    <w:rsid w:val="00BE628B"/>
    <w:rsid w:val="00BF0724"/>
    <w:rsid w:val="00C00185"/>
    <w:rsid w:val="00C8148F"/>
    <w:rsid w:val="00CA78A3"/>
    <w:rsid w:val="00D23171"/>
    <w:rsid w:val="00D71444"/>
    <w:rsid w:val="00DD1603"/>
    <w:rsid w:val="00E30E50"/>
    <w:rsid w:val="00E44620"/>
    <w:rsid w:val="00E47FF7"/>
    <w:rsid w:val="00F273EF"/>
    <w:rsid w:val="00F5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03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040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0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3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6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02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64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3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40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92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17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9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0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朱秋康</dc:creator>
  <cp:keywords/>
  <dc:description/>
  <cp:lastModifiedBy>朱秋康</cp:lastModifiedBy>
  <cp:revision>3</cp:revision>
  <dcterms:created xsi:type="dcterms:W3CDTF">2021-11-23T06:56:00Z</dcterms:created>
  <dcterms:modified xsi:type="dcterms:W3CDTF">2021-11-23T07:01:00Z</dcterms:modified>
</cp:coreProperties>
</file>